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9C57D" w14:textId="06E0113B" w:rsidR="007D5B7C" w:rsidRPr="007D5B7C" w:rsidRDefault="007D5B7C">
      <w:pPr>
        <w:rPr>
          <w:sz w:val="72"/>
          <w:szCs w:val="72"/>
        </w:rPr>
      </w:pPr>
      <w:r w:rsidRPr="007D5B7C">
        <w:rPr>
          <w:sz w:val="72"/>
          <w:szCs w:val="72"/>
        </w:rPr>
        <w:t>Counselling Fees</w:t>
      </w:r>
    </w:p>
    <w:p w14:paraId="61D09E82" w14:textId="5D01BBBB" w:rsidR="00317694" w:rsidRDefault="007D5B7C">
      <w:pPr>
        <w:rPr>
          <w:sz w:val="24"/>
          <w:szCs w:val="24"/>
        </w:rPr>
      </w:pPr>
      <w:r>
        <w:rPr>
          <w:sz w:val="24"/>
          <w:szCs w:val="24"/>
        </w:rPr>
        <w:t>Counselling fees are based on a sliding scale according to income. Concessions are available for Centrelink card holders, full time tertiary students and those demonstrating financial hardship.  Rebates are available with some private health funds.</w:t>
      </w:r>
    </w:p>
    <w:p w14:paraId="268BD0B9" w14:textId="5CD3103D" w:rsidR="007D5B7C" w:rsidRDefault="007D5B7C">
      <w:pPr>
        <w:rPr>
          <w:sz w:val="24"/>
          <w:szCs w:val="24"/>
        </w:rPr>
      </w:pPr>
    </w:p>
    <w:tbl>
      <w:tblPr>
        <w:tblStyle w:val="TableGrid"/>
        <w:tblW w:w="0" w:type="auto"/>
        <w:tblLook w:val="04A0" w:firstRow="1" w:lastRow="0" w:firstColumn="1" w:lastColumn="0" w:noHBand="0" w:noVBand="1"/>
      </w:tblPr>
      <w:tblGrid>
        <w:gridCol w:w="3116"/>
        <w:gridCol w:w="3117"/>
        <w:gridCol w:w="3117"/>
      </w:tblGrid>
      <w:tr w:rsidR="007D5B7C" w14:paraId="1E1752A0" w14:textId="77777777" w:rsidTr="007D5B7C">
        <w:tc>
          <w:tcPr>
            <w:tcW w:w="3116" w:type="dxa"/>
          </w:tcPr>
          <w:p w14:paraId="00A78485" w14:textId="22D44937" w:rsidR="007D5B7C" w:rsidRDefault="007D5B7C">
            <w:pPr>
              <w:rPr>
                <w:sz w:val="24"/>
                <w:szCs w:val="24"/>
              </w:rPr>
            </w:pPr>
            <w:r>
              <w:rPr>
                <w:sz w:val="24"/>
                <w:szCs w:val="24"/>
              </w:rPr>
              <w:t>INCOME LEVEL</w:t>
            </w:r>
          </w:p>
        </w:tc>
        <w:tc>
          <w:tcPr>
            <w:tcW w:w="3117" w:type="dxa"/>
          </w:tcPr>
          <w:p w14:paraId="3593835C" w14:textId="72248701" w:rsidR="007D5B7C" w:rsidRDefault="007D5B7C">
            <w:pPr>
              <w:rPr>
                <w:sz w:val="24"/>
                <w:szCs w:val="24"/>
              </w:rPr>
            </w:pPr>
            <w:r>
              <w:rPr>
                <w:sz w:val="24"/>
                <w:szCs w:val="24"/>
              </w:rPr>
              <w:t>INDIVIDUAL</w:t>
            </w:r>
          </w:p>
        </w:tc>
        <w:tc>
          <w:tcPr>
            <w:tcW w:w="3117" w:type="dxa"/>
          </w:tcPr>
          <w:p w14:paraId="77233E3B" w14:textId="2A4E9A35" w:rsidR="007D5B7C" w:rsidRDefault="007D5B7C">
            <w:pPr>
              <w:rPr>
                <w:sz w:val="24"/>
                <w:szCs w:val="24"/>
              </w:rPr>
            </w:pPr>
            <w:r>
              <w:rPr>
                <w:sz w:val="24"/>
                <w:szCs w:val="24"/>
              </w:rPr>
              <w:t>COUPLES/FAMILY</w:t>
            </w:r>
          </w:p>
        </w:tc>
      </w:tr>
      <w:tr w:rsidR="007D5B7C" w14:paraId="179E6A59" w14:textId="77777777" w:rsidTr="007D5B7C">
        <w:tc>
          <w:tcPr>
            <w:tcW w:w="3116" w:type="dxa"/>
          </w:tcPr>
          <w:p w14:paraId="7FC97AE5" w14:textId="2B90B763" w:rsidR="007D5B7C" w:rsidRDefault="007D5B7C">
            <w:pPr>
              <w:rPr>
                <w:sz w:val="24"/>
                <w:szCs w:val="24"/>
              </w:rPr>
            </w:pPr>
            <w:r>
              <w:rPr>
                <w:sz w:val="24"/>
                <w:szCs w:val="24"/>
              </w:rPr>
              <w:t xml:space="preserve">Pensioner or Healthcare </w:t>
            </w:r>
            <w:r w:rsidR="00020AC8">
              <w:rPr>
                <w:sz w:val="24"/>
                <w:szCs w:val="24"/>
              </w:rPr>
              <w:t>Card Holder</w:t>
            </w:r>
          </w:p>
        </w:tc>
        <w:tc>
          <w:tcPr>
            <w:tcW w:w="3117" w:type="dxa"/>
          </w:tcPr>
          <w:p w14:paraId="6F7C9AED" w14:textId="2BE04202" w:rsidR="007D5B7C" w:rsidRDefault="00020AC8">
            <w:pPr>
              <w:rPr>
                <w:sz w:val="24"/>
                <w:szCs w:val="24"/>
              </w:rPr>
            </w:pPr>
            <w:r>
              <w:rPr>
                <w:sz w:val="24"/>
                <w:szCs w:val="24"/>
              </w:rPr>
              <w:t>$30.00</w:t>
            </w:r>
          </w:p>
        </w:tc>
        <w:tc>
          <w:tcPr>
            <w:tcW w:w="3117" w:type="dxa"/>
          </w:tcPr>
          <w:p w14:paraId="1A505A21" w14:textId="49DA2455" w:rsidR="007D5B7C" w:rsidRDefault="00020AC8">
            <w:pPr>
              <w:rPr>
                <w:sz w:val="24"/>
                <w:szCs w:val="24"/>
              </w:rPr>
            </w:pPr>
            <w:r>
              <w:rPr>
                <w:sz w:val="24"/>
                <w:szCs w:val="24"/>
              </w:rPr>
              <w:t>$40.00</w:t>
            </w:r>
          </w:p>
        </w:tc>
      </w:tr>
      <w:tr w:rsidR="00020AC8" w14:paraId="2CB504B8" w14:textId="77777777" w:rsidTr="007D5B7C">
        <w:tc>
          <w:tcPr>
            <w:tcW w:w="3116" w:type="dxa"/>
          </w:tcPr>
          <w:p w14:paraId="224493D3" w14:textId="346E595B" w:rsidR="00020AC8" w:rsidRDefault="00020AC8">
            <w:pPr>
              <w:rPr>
                <w:sz w:val="24"/>
                <w:szCs w:val="24"/>
              </w:rPr>
            </w:pPr>
            <w:r>
              <w:rPr>
                <w:sz w:val="24"/>
                <w:szCs w:val="24"/>
              </w:rPr>
              <w:t>Up to $60,000.00 p.a</w:t>
            </w:r>
          </w:p>
        </w:tc>
        <w:tc>
          <w:tcPr>
            <w:tcW w:w="3117" w:type="dxa"/>
          </w:tcPr>
          <w:p w14:paraId="3BE7CDBC" w14:textId="668A4C08" w:rsidR="00020AC8" w:rsidRDefault="00020AC8">
            <w:pPr>
              <w:rPr>
                <w:sz w:val="24"/>
                <w:szCs w:val="24"/>
              </w:rPr>
            </w:pPr>
            <w:r>
              <w:rPr>
                <w:sz w:val="24"/>
                <w:szCs w:val="24"/>
              </w:rPr>
              <w:t>$50.00</w:t>
            </w:r>
          </w:p>
        </w:tc>
        <w:tc>
          <w:tcPr>
            <w:tcW w:w="3117" w:type="dxa"/>
          </w:tcPr>
          <w:p w14:paraId="46CC7518" w14:textId="36ACDCD8" w:rsidR="00020AC8" w:rsidRDefault="00020AC8">
            <w:pPr>
              <w:rPr>
                <w:sz w:val="24"/>
                <w:szCs w:val="24"/>
              </w:rPr>
            </w:pPr>
            <w:r>
              <w:rPr>
                <w:sz w:val="24"/>
                <w:szCs w:val="24"/>
              </w:rPr>
              <w:t>$60.00</w:t>
            </w:r>
          </w:p>
        </w:tc>
      </w:tr>
      <w:tr w:rsidR="007D5B7C" w14:paraId="767E98D6" w14:textId="77777777" w:rsidTr="007D5B7C">
        <w:tc>
          <w:tcPr>
            <w:tcW w:w="3116" w:type="dxa"/>
          </w:tcPr>
          <w:p w14:paraId="3362A150" w14:textId="4E45C31C" w:rsidR="007D5B7C" w:rsidRDefault="00020AC8">
            <w:pPr>
              <w:rPr>
                <w:sz w:val="24"/>
                <w:szCs w:val="24"/>
              </w:rPr>
            </w:pPr>
            <w:r>
              <w:rPr>
                <w:sz w:val="24"/>
                <w:szCs w:val="24"/>
              </w:rPr>
              <w:t>Over $60,000.00 per annum</w:t>
            </w:r>
          </w:p>
        </w:tc>
        <w:tc>
          <w:tcPr>
            <w:tcW w:w="3117" w:type="dxa"/>
          </w:tcPr>
          <w:p w14:paraId="69D350C1" w14:textId="16BEB9AE" w:rsidR="007D5B7C" w:rsidRDefault="00020AC8">
            <w:pPr>
              <w:rPr>
                <w:sz w:val="24"/>
                <w:szCs w:val="24"/>
              </w:rPr>
            </w:pPr>
            <w:r>
              <w:rPr>
                <w:sz w:val="24"/>
                <w:szCs w:val="24"/>
              </w:rPr>
              <w:t>$60.00</w:t>
            </w:r>
          </w:p>
        </w:tc>
        <w:tc>
          <w:tcPr>
            <w:tcW w:w="3117" w:type="dxa"/>
          </w:tcPr>
          <w:p w14:paraId="6ACDDC05" w14:textId="513268DC" w:rsidR="007D5B7C" w:rsidRDefault="00020AC8">
            <w:pPr>
              <w:rPr>
                <w:sz w:val="24"/>
                <w:szCs w:val="24"/>
              </w:rPr>
            </w:pPr>
            <w:r>
              <w:rPr>
                <w:sz w:val="24"/>
                <w:szCs w:val="24"/>
              </w:rPr>
              <w:t>$70.00</w:t>
            </w:r>
          </w:p>
        </w:tc>
      </w:tr>
    </w:tbl>
    <w:p w14:paraId="2822D57E" w14:textId="77777777" w:rsidR="007D5B7C" w:rsidRDefault="007D5B7C">
      <w:pPr>
        <w:rPr>
          <w:sz w:val="24"/>
          <w:szCs w:val="24"/>
        </w:rPr>
      </w:pPr>
    </w:p>
    <w:p w14:paraId="39B4447E" w14:textId="53B45BAE" w:rsidR="007D5B7C" w:rsidRDefault="007D5B7C">
      <w:pPr>
        <w:rPr>
          <w:sz w:val="24"/>
          <w:szCs w:val="24"/>
        </w:rPr>
      </w:pPr>
    </w:p>
    <w:p w14:paraId="492E0E1C" w14:textId="7F0DBB62" w:rsidR="007D5B7C" w:rsidRDefault="00020AC8" w:rsidP="00020AC8">
      <w:pPr>
        <w:pStyle w:val="ListParagraph"/>
        <w:numPr>
          <w:ilvl w:val="0"/>
          <w:numId w:val="1"/>
        </w:numPr>
        <w:rPr>
          <w:sz w:val="24"/>
          <w:szCs w:val="24"/>
        </w:rPr>
      </w:pPr>
      <w:r>
        <w:rPr>
          <w:sz w:val="24"/>
          <w:szCs w:val="24"/>
        </w:rPr>
        <w:t>For couples and for family counselling the combined income of all the clients involved in the session is what determines the scheduled fee</w:t>
      </w:r>
    </w:p>
    <w:p w14:paraId="4CDA9716" w14:textId="1729B42F" w:rsidR="00020AC8" w:rsidRDefault="00020AC8" w:rsidP="00020AC8">
      <w:pPr>
        <w:pStyle w:val="ListParagraph"/>
        <w:numPr>
          <w:ilvl w:val="0"/>
          <w:numId w:val="1"/>
        </w:numPr>
        <w:rPr>
          <w:sz w:val="24"/>
          <w:szCs w:val="24"/>
        </w:rPr>
      </w:pPr>
      <w:r>
        <w:rPr>
          <w:sz w:val="24"/>
          <w:szCs w:val="24"/>
        </w:rPr>
        <w:t>Please let your counsellor know if there is a any concern about ability to pay the scheduled fee due to particular financial circumstances.</w:t>
      </w:r>
    </w:p>
    <w:p w14:paraId="35F21CB5" w14:textId="7B796BF7" w:rsidR="00020AC8" w:rsidRDefault="00020AC8" w:rsidP="00020AC8">
      <w:pPr>
        <w:rPr>
          <w:sz w:val="24"/>
          <w:szCs w:val="24"/>
        </w:rPr>
      </w:pPr>
    </w:p>
    <w:p w14:paraId="113D5865" w14:textId="75942100" w:rsidR="00020AC8" w:rsidRPr="007D5B7C" w:rsidRDefault="00020AC8" w:rsidP="00020AC8">
      <w:pPr>
        <w:rPr>
          <w:sz w:val="72"/>
          <w:szCs w:val="72"/>
        </w:rPr>
      </w:pPr>
      <w:r>
        <w:rPr>
          <w:sz w:val="72"/>
          <w:szCs w:val="72"/>
        </w:rPr>
        <w:t>Psychology</w:t>
      </w:r>
      <w:r w:rsidRPr="007D5B7C">
        <w:rPr>
          <w:sz w:val="72"/>
          <w:szCs w:val="72"/>
        </w:rPr>
        <w:t xml:space="preserve"> Fees</w:t>
      </w:r>
    </w:p>
    <w:p w14:paraId="7974E40B" w14:textId="38ED6CFE" w:rsidR="00020AC8" w:rsidRDefault="00020AC8" w:rsidP="00020AC8">
      <w:pPr>
        <w:rPr>
          <w:sz w:val="24"/>
          <w:szCs w:val="24"/>
        </w:rPr>
      </w:pPr>
      <w:r>
        <w:rPr>
          <w:sz w:val="24"/>
          <w:szCs w:val="24"/>
        </w:rPr>
        <w:t>Again their fees are based on a sliding scale according to income. Centrelink card holders, full time tertiary students and those demonstrating financial hardship will be bulk billed under the provisions of Medicare as long as the client has a Mental Health Plan referring them to a particular psychologist.  Rebates might also be available with some private health funds.</w:t>
      </w:r>
    </w:p>
    <w:p w14:paraId="077B230B" w14:textId="19FC1D83" w:rsidR="0069485F" w:rsidRDefault="0069485F" w:rsidP="00020AC8">
      <w:pPr>
        <w:rPr>
          <w:sz w:val="24"/>
          <w:szCs w:val="24"/>
        </w:rPr>
      </w:pPr>
    </w:p>
    <w:tbl>
      <w:tblPr>
        <w:tblStyle w:val="TableGrid"/>
        <w:tblW w:w="0" w:type="auto"/>
        <w:tblLook w:val="04A0" w:firstRow="1" w:lastRow="0" w:firstColumn="1" w:lastColumn="0" w:noHBand="0" w:noVBand="1"/>
      </w:tblPr>
      <w:tblGrid>
        <w:gridCol w:w="2437"/>
        <w:gridCol w:w="2464"/>
        <w:gridCol w:w="2420"/>
        <w:gridCol w:w="2029"/>
      </w:tblGrid>
      <w:tr w:rsidR="0069485F" w14:paraId="199EE221" w14:textId="39E00D54" w:rsidTr="0069485F">
        <w:tc>
          <w:tcPr>
            <w:tcW w:w="2437" w:type="dxa"/>
          </w:tcPr>
          <w:p w14:paraId="199224D1" w14:textId="77777777" w:rsidR="0069485F" w:rsidRDefault="0069485F" w:rsidP="002F27B9">
            <w:pPr>
              <w:rPr>
                <w:sz w:val="24"/>
                <w:szCs w:val="24"/>
              </w:rPr>
            </w:pPr>
            <w:r>
              <w:rPr>
                <w:sz w:val="24"/>
                <w:szCs w:val="24"/>
              </w:rPr>
              <w:t>INCOME LEVEL</w:t>
            </w:r>
          </w:p>
        </w:tc>
        <w:tc>
          <w:tcPr>
            <w:tcW w:w="2464" w:type="dxa"/>
          </w:tcPr>
          <w:p w14:paraId="169B2997" w14:textId="77777777" w:rsidR="0069485F" w:rsidRDefault="0069485F" w:rsidP="002F27B9">
            <w:pPr>
              <w:rPr>
                <w:sz w:val="24"/>
                <w:szCs w:val="24"/>
              </w:rPr>
            </w:pPr>
            <w:r>
              <w:rPr>
                <w:sz w:val="24"/>
                <w:szCs w:val="24"/>
              </w:rPr>
              <w:t>INDIVIDUAL</w:t>
            </w:r>
          </w:p>
        </w:tc>
        <w:tc>
          <w:tcPr>
            <w:tcW w:w="2420" w:type="dxa"/>
          </w:tcPr>
          <w:p w14:paraId="59973A27" w14:textId="1D19AAD5" w:rsidR="0069485F" w:rsidRDefault="0069485F" w:rsidP="002F27B9">
            <w:pPr>
              <w:rPr>
                <w:sz w:val="24"/>
                <w:szCs w:val="24"/>
              </w:rPr>
            </w:pPr>
            <w:r>
              <w:rPr>
                <w:sz w:val="24"/>
                <w:szCs w:val="24"/>
              </w:rPr>
              <w:t>MEDICARE REBATE</w:t>
            </w:r>
          </w:p>
        </w:tc>
        <w:tc>
          <w:tcPr>
            <w:tcW w:w="2029" w:type="dxa"/>
          </w:tcPr>
          <w:p w14:paraId="636C1C04" w14:textId="11D16190" w:rsidR="0069485F" w:rsidRDefault="0069485F" w:rsidP="002F27B9">
            <w:pPr>
              <w:rPr>
                <w:sz w:val="24"/>
                <w:szCs w:val="24"/>
              </w:rPr>
            </w:pPr>
            <w:r>
              <w:rPr>
                <w:sz w:val="24"/>
                <w:szCs w:val="24"/>
              </w:rPr>
              <w:t>GAP</w:t>
            </w:r>
          </w:p>
        </w:tc>
      </w:tr>
      <w:tr w:rsidR="0069485F" w14:paraId="05A4348B" w14:textId="457BB0C0" w:rsidTr="0069485F">
        <w:tc>
          <w:tcPr>
            <w:tcW w:w="2437" w:type="dxa"/>
          </w:tcPr>
          <w:p w14:paraId="7F55DE68" w14:textId="77777777" w:rsidR="0069485F" w:rsidRDefault="0069485F" w:rsidP="002F27B9">
            <w:pPr>
              <w:rPr>
                <w:sz w:val="24"/>
                <w:szCs w:val="24"/>
              </w:rPr>
            </w:pPr>
            <w:r>
              <w:rPr>
                <w:sz w:val="24"/>
                <w:szCs w:val="24"/>
              </w:rPr>
              <w:t>Pensioner or Healthcare Card Holder</w:t>
            </w:r>
          </w:p>
        </w:tc>
        <w:tc>
          <w:tcPr>
            <w:tcW w:w="2464" w:type="dxa"/>
          </w:tcPr>
          <w:p w14:paraId="1C42347E" w14:textId="7CBB7622" w:rsidR="0069485F" w:rsidRDefault="0069485F" w:rsidP="002F27B9">
            <w:pPr>
              <w:rPr>
                <w:sz w:val="24"/>
                <w:szCs w:val="24"/>
              </w:rPr>
            </w:pPr>
            <w:r>
              <w:rPr>
                <w:sz w:val="24"/>
                <w:szCs w:val="24"/>
              </w:rPr>
              <w:t xml:space="preserve">$88.25 </w:t>
            </w:r>
          </w:p>
        </w:tc>
        <w:tc>
          <w:tcPr>
            <w:tcW w:w="2420" w:type="dxa"/>
          </w:tcPr>
          <w:p w14:paraId="32E4913A" w14:textId="363AEAA8" w:rsidR="0069485F" w:rsidRDefault="0069485F" w:rsidP="002F27B9">
            <w:pPr>
              <w:rPr>
                <w:sz w:val="24"/>
                <w:szCs w:val="24"/>
              </w:rPr>
            </w:pPr>
            <w:r>
              <w:rPr>
                <w:sz w:val="24"/>
                <w:szCs w:val="24"/>
              </w:rPr>
              <w:t>$88.25</w:t>
            </w:r>
          </w:p>
        </w:tc>
        <w:tc>
          <w:tcPr>
            <w:tcW w:w="2029" w:type="dxa"/>
          </w:tcPr>
          <w:p w14:paraId="353893C9" w14:textId="0D491251" w:rsidR="0069485F" w:rsidRDefault="0069485F" w:rsidP="002F27B9">
            <w:pPr>
              <w:rPr>
                <w:sz w:val="24"/>
                <w:szCs w:val="24"/>
              </w:rPr>
            </w:pPr>
            <w:r>
              <w:rPr>
                <w:sz w:val="24"/>
                <w:szCs w:val="24"/>
              </w:rPr>
              <w:t>0</w:t>
            </w:r>
          </w:p>
        </w:tc>
      </w:tr>
      <w:tr w:rsidR="0069485F" w14:paraId="6D3ED750" w14:textId="568A5E49" w:rsidTr="0069485F">
        <w:tc>
          <w:tcPr>
            <w:tcW w:w="2437" w:type="dxa"/>
          </w:tcPr>
          <w:p w14:paraId="07805D24" w14:textId="77777777" w:rsidR="0069485F" w:rsidRDefault="0069485F" w:rsidP="002F27B9">
            <w:pPr>
              <w:rPr>
                <w:sz w:val="24"/>
                <w:szCs w:val="24"/>
              </w:rPr>
            </w:pPr>
            <w:r>
              <w:rPr>
                <w:sz w:val="24"/>
                <w:szCs w:val="24"/>
              </w:rPr>
              <w:t>Up to $60,000.00 p.a</w:t>
            </w:r>
          </w:p>
        </w:tc>
        <w:tc>
          <w:tcPr>
            <w:tcW w:w="2464" w:type="dxa"/>
          </w:tcPr>
          <w:p w14:paraId="6281DABC" w14:textId="34CB6F33" w:rsidR="0069485F" w:rsidRDefault="0069485F" w:rsidP="002F27B9">
            <w:pPr>
              <w:rPr>
                <w:sz w:val="24"/>
                <w:szCs w:val="24"/>
              </w:rPr>
            </w:pPr>
            <w:r>
              <w:rPr>
                <w:sz w:val="24"/>
                <w:szCs w:val="24"/>
              </w:rPr>
              <w:t>$108.25</w:t>
            </w:r>
          </w:p>
        </w:tc>
        <w:tc>
          <w:tcPr>
            <w:tcW w:w="2420" w:type="dxa"/>
          </w:tcPr>
          <w:p w14:paraId="2AB14207" w14:textId="0FC87D45" w:rsidR="0069485F" w:rsidRDefault="0069485F" w:rsidP="002F27B9">
            <w:pPr>
              <w:rPr>
                <w:sz w:val="24"/>
                <w:szCs w:val="24"/>
              </w:rPr>
            </w:pPr>
            <w:r>
              <w:rPr>
                <w:sz w:val="24"/>
                <w:szCs w:val="24"/>
              </w:rPr>
              <w:t>$88.25</w:t>
            </w:r>
          </w:p>
        </w:tc>
        <w:tc>
          <w:tcPr>
            <w:tcW w:w="2029" w:type="dxa"/>
          </w:tcPr>
          <w:p w14:paraId="154FEF50" w14:textId="32E1054C" w:rsidR="0069485F" w:rsidRDefault="0069485F" w:rsidP="002F27B9">
            <w:pPr>
              <w:rPr>
                <w:sz w:val="24"/>
                <w:szCs w:val="24"/>
              </w:rPr>
            </w:pPr>
            <w:r>
              <w:rPr>
                <w:sz w:val="24"/>
                <w:szCs w:val="24"/>
              </w:rPr>
              <w:t>$20</w:t>
            </w:r>
          </w:p>
        </w:tc>
      </w:tr>
      <w:tr w:rsidR="0069485F" w14:paraId="56718AF2" w14:textId="369C8CE8" w:rsidTr="0069485F">
        <w:tc>
          <w:tcPr>
            <w:tcW w:w="2437" w:type="dxa"/>
          </w:tcPr>
          <w:p w14:paraId="1ED710ED" w14:textId="77777777" w:rsidR="0069485F" w:rsidRDefault="0069485F" w:rsidP="002F27B9">
            <w:pPr>
              <w:rPr>
                <w:sz w:val="24"/>
                <w:szCs w:val="24"/>
              </w:rPr>
            </w:pPr>
            <w:r>
              <w:rPr>
                <w:sz w:val="24"/>
                <w:szCs w:val="24"/>
              </w:rPr>
              <w:t>Over $60,000.00 per annum</w:t>
            </w:r>
          </w:p>
        </w:tc>
        <w:tc>
          <w:tcPr>
            <w:tcW w:w="2464" w:type="dxa"/>
          </w:tcPr>
          <w:p w14:paraId="3BB10720" w14:textId="63628B54" w:rsidR="0069485F" w:rsidRDefault="0069485F" w:rsidP="002F27B9">
            <w:pPr>
              <w:rPr>
                <w:sz w:val="24"/>
                <w:szCs w:val="24"/>
              </w:rPr>
            </w:pPr>
            <w:r>
              <w:rPr>
                <w:sz w:val="24"/>
                <w:szCs w:val="24"/>
              </w:rPr>
              <w:t>$148.25</w:t>
            </w:r>
          </w:p>
        </w:tc>
        <w:tc>
          <w:tcPr>
            <w:tcW w:w="2420" w:type="dxa"/>
          </w:tcPr>
          <w:p w14:paraId="116B24DA" w14:textId="460C6938" w:rsidR="0069485F" w:rsidRDefault="0069485F" w:rsidP="002F27B9">
            <w:pPr>
              <w:rPr>
                <w:sz w:val="24"/>
                <w:szCs w:val="24"/>
              </w:rPr>
            </w:pPr>
            <w:r>
              <w:rPr>
                <w:sz w:val="24"/>
                <w:szCs w:val="24"/>
              </w:rPr>
              <w:t>$88.25</w:t>
            </w:r>
          </w:p>
        </w:tc>
        <w:tc>
          <w:tcPr>
            <w:tcW w:w="2029" w:type="dxa"/>
          </w:tcPr>
          <w:p w14:paraId="2ED666A4" w14:textId="5295C4DA" w:rsidR="0069485F" w:rsidRDefault="0069485F" w:rsidP="002F27B9">
            <w:pPr>
              <w:rPr>
                <w:sz w:val="24"/>
                <w:szCs w:val="24"/>
              </w:rPr>
            </w:pPr>
            <w:r>
              <w:rPr>
                <w:sz w:val="24"/>
                <w:szCs w:val="24"/>
              </w:rPr>
              <w:t>$</w:t>
            </w:r>
            <w:r w:rsidR="00B4663F">
              <w:rPr>
                <w:sz w:val="24"/>
                <w:szCs w:val="24"/>
              </w:rPr>
              <w:t>6</w:t>
            </w:r>
            <w:r>
              <w:rPr>
                <w:sz w:val="24"/>
                <w:szCs w:val="24"/>
              </w:rPr>
              <w:t>0</w:t>
            </w:r>
          </w:p>
        </w:tc>
      </w:tr>
    </w:tbl>
    <w:p w14:paraId="7804ED20" w14:textId="7B75BE2E" w:rsidR="0069485F" w:rsidRDefault="0069485F" w:rsidP="00020AC8">
      <w:pPr>
        <w:rPr>
          <w:sz w:val="24"/>
          <w:szCs w:val="24"/>
        </w:rPr>
      </w:pPr>
    </w:p>
    <w:p w14:paraId="6F0DF5ED" w14:textId="0D676F56" w:rsidR="0069485F" w:rsidRDefault="0069485F" w:rsidP="00020AC8">
      <w:pPr>
        <w:rPr>
          <w:sz w:val="24"/>
          <w:szCs w:val="24"/>
        </w:rPr>
      </w:pPr>
      <w:r>
        <w:rPr>
          <w:sz w:val="24"/>
          <w:szCs w:val="24"/>
        </w:rPr>
        <w:t>CANCELLATION FEES</w:t>
      </w:r>
    </w:p>
    <w:p w14:paraId="5426DF9A" w14:textId="3626F970" w:rsidR="0069485F" w:rsidRDefault="0069485F" w:rsidP="00020AC8">
      <w:pPr>
        <w:rPr>
          <w:sz w:val="24"/>
          <w:szCs w:val="24"/>
        </w:rPr>
      </w:pPr>
      <w:r>
        <w:rPr>
          <w:sz w:val="24"/>
          <w:szCs w:val="24"/>
        </w:rPr>
        <w:t>Please note that a cancellation fee of up to $50 for counsellors and $88.25 for psychologists will be charged where a client gives less that 48 hours notice of a cancellation except in unforeseen and unavoidable circumstances.</w:t>
      </w:r>
    </w:p>
    <w:p w14:paraId="7C2FD5F8" w14:textId="77777777" w:rsidR="00020AC8" w:rsidRPr="00020AC8" w:rsidRDefault="00020AC8" w:rsidP="00020AC8">
      <w:pPr>
        <w:rPr>
          <w:sz w:val="24"/>
          <w:szCs w:val="24"/>
        </w:rPr>
      </w:pPr>
    </w:p>
    <w:p w14:paraId="6A955C95" w14:textId="77777777" w:rsidR="00020AC8" w:rsidRPr="00020AC8" w:rsidRDefault="00020AC8" w:rsidP="00020AC8">
      <w:pPr>
        <w:pStyle w:val="ListParagraph"/>
        <w:rPr>
          <w:sz w:val="24"/>
          <w:szCs w:val="24"/>
        </w:rPr>
      </w:pPr>
    </w:p>
    <w:sectPr w:rsidR="00020AC8" w:rsidRPr="00020AC8" w:rsidSect="0069485F">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3E73"/>
    <w:multiLevelType w:val="hybridMultilevel"/>
    <w:tmpl w:val="23CA6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B7C"/>
    <w:rsid w:val="00020AC8"/>
    <w:rsid w:val="00317694"/>
    <w:rsid w:val="0069485F"/>
    <w:rsid w:val="007D5B7C"/>
    <w:rsid w:val="00B4663F"/>
    <w:rsid w:val="00F35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E67CD"/>
  <w15:chartTrackingRefBased/>
  <w15:docId w15:val="{AC54C498-71F7-4A97-A8ED-75747D4C2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5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0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Martin</dc:creator>
  <cp:keywords/>
  <dc:description/>
  <cp:lastModifiedBy>Judy Martin</cp:lastModifiedBy>
  <cp:revision>2</cp:revision>
  <dcterms:created xsi:type="dcterms:W3CDTF">2022-02-15T02:57:00Z</dcterms:created>
  <dcterms:modified xsi:type="dcterms:W3CDTF">2022-02-16T00:00:00Z</dcterms:modified>
</cp:coreProperties>
</file>